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2E1C4D" w:rsidP="008A0AF5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9F6952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1</w:t>
            </w:r>
            <w:r w:rsidR="008A0AF5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2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8A0AF5" w:rsidP="00282EDD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CEO on Board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A01A40" w:rsidRDefault="00A01A40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26250" w:rsidRPr="00A01A40" w:rsidRDefault="008A0AF5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 w:rsidRPr="008A0AF5">
              <w:rPr>
                <w:rFonts w:ascii="HelveticaNeueLT Std Cn" w:hAnsi="HelveticaNeueLT Std Cn" w:cs="Arial"/>
                <w:sz w:val="22"/>
                <w:szCs w:val="22"/>
              </w:rPr>
              <w:t>As an active partner, the chief executive should be present at all board meeting, normally in an ex officio (part of it by virtue of holding another office), nonvoting capacity. Serving as a nonvoting member of the board heightens the organization’s accountability, lessens many inherent conflicts of interest, and allows for a separation between oversight and implementation.</w:t>
            </w: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9F6952" w:rsidRDefault="009F6952" w:rsidP="00172AE8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8A0AF5" w:rsidRPr="008A0AF5" w:rsidRDefault="008A0AF5" w:rsidP="008A0AF5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8A0AF5">
              <w:rPr>
                <w:rFonts w:ascii="HelveticaNeueLT Std Cn" w:hAnsi="HelveticaNeueLT Std Cn"/>
                <w:sz w:val="22"/>
                <w:szCs w:val="22"/>
              </w:rPr>
              <w:t>The chief executive serves as an ex officio, nonvoting member of the board.</w:t>
            </w:r>
          </w:p>
          <w:p w:rsidR="009F6952" w:rsidRPr="00172AE8" w:rsidRDefault="009F6952" w:rsidP="009F6952">
            <w:pPr>
              <w:rPr>
                <w:rFonts w:ascii="HelveticaNeueLT Std Cn" w:hAnsi="HelveticaNeueLT Std C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F7" w:rsidRDefault="000668F7" w:rsidP="00CF3BBD">
      <w:r>
        <w:separator/>
      </w:r>
    </w:p>
  </w:endnote>
  <w:endnote w:type="continuationSeparator" w:id="0">
    <w:p w:rsidR="000668F7" w:rsidRDefault="000668F7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F7" w:rsidRDefault="000668F7" w:rsidP="00CF3BBD">
      <w:r>
        <w:separator/>
      </w:r>
    </w:p>
  </w:footnote>
  <w:footnote w:type="continuationSeparator" w:id="0">
    <w:p w:rsidR="000668F7" w:rsidRDefault="000668F7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F7" w:rsidRPr="00AB52BF" w:rsidRDefault="000668F7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3/Board of Directors</w:t>
    </w:r>
  </w:p>
  <w:p w:rsidR="000668F7" w:rsidRPr="00AB52BF" w:rsidRDefault="000668F7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5C75"/>
    <w:multiLevelType w:val="hybridMultilevel"/>
    <w:tmpl w:val="2DDC966A"/>
    <w:lvl w:ilvl="0" w:tplc="164A7404">
      <w:start w:val="3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06C"/>
    <w:multiLevelType w:val="hybridMultilevel"/>
    <w:tmpl w:val="B4465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57323"/>
    <w:multiLevelType w:val="hybridMultilevel"/>
    <w:tmpl w:val="D1960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12B4F"/>
    <w:multiLevelType w:val="hybridMultilevel"/>
    <w:tmpl w:val="7EEEF298"/>
    <w:lvl w:ilvl="0" w:tplc="394C9BD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668F7"/>
    <w:rsid w:val="0010189E"/>
    <w:rsid w:val="00113B9F"/>
    <w:rsid w:val="00117607"/>
    <w:rsid w:val="00131225"/>
    <w:rsid w:val="00172AE8"/>
    <w:rsid w:val="00282EDD"/>
    <w:rsid w:val="002D442E"/>
    <w:rsid w:val="002E1C4D"/>
    <w:rsid w:val="00363612"/>
    <w:rsid w:val="00551B45"/>
    <w:rsid w:val="005A389D"/>
    <w:rsid w:val="0065166B"/>
    <w:rsid w:val="006A0632"/>
    <w:rsid w:val="00804F0F"/>
    <w:rsid w:val="008A0AF5"/>
    <w:rsid w:val="008F2C50"/>
    <w:rsid w:val="009A36BF"/>
    <w:rsid w:val="009F6952"/>
    <w:rsid w:val="00A01A40"/>
    <w:rsid w:val="00AB52BF"/>
    <w:rsid w:val="00B247B2"/>
    <w:rsid w:val="00B26250"/>
    <w:rsid w:val="00B87870"/>
    <w:rsid w:val="00BC1F54"/>
    <w:rsid w:val="00C5088B"/>
    <w:rsid w:val="00CF3BBD"/>
    <w:rsid w:val="00E82C4B"/>
    <w:rsid w:val="00EB27FA"/>
    <w:rsid w:val="00F30522"/>
    <w:rsid w:val="00F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0B060A9B-3CA5-4432-8BD4-FA0B29BCE87C}"/>
</file>

<file path=customXml/itemProps2.xml><?xml version="1.0" encoding="utf-8"?>
<ds:datastoreItem xmlns:ds="http://schemas.openxmlformats.org/officeDocument/2006/customXml" ds:itemID="{F49620AC-0639-46FE-9444-491924B96829}"/>
</file>

<file path=customXml/itemProps3.xml><?xml version="1.0" encoding="utf-8"?>
<ds:datastoreItem xmlns:ds="http://schemas.openxmlformats.org/officeDocument/2006/customXml" ds:itemID="{C4301337-4013-43B7-8D3C-0958DD3721C1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2</cp:revision>
  <dcterms:created xsi:type="dcterms:W3CDTF">2015-12-01T15:33:00Z</dcterms:created>
  <dcterms:modified xsi:type="dcterms:W3CDTF">2015-12-01T15:33:00Z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