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D0" w:rsidRPr="009561D0" w:rsidRDefault="009561D0" w:rsidP="009561D0">
      <w:pPr>
        <w:spacing w:after="0" w:line="276" w:lineRule="auto"/>
        <w:rPr>
          <w:rFonts w:ascii="Garamond" w:eastAsia="Times New Roman" w:hAnsi="Garamond" w:cs="Arial"/>
          <w:sz w:val="24"/>
          <w:szCs w:val="24"/>
        </w:rPr>
      </w:pPr>
      <w:bookmarkStart w:id="0" w:name="_GoBack"/>
      <w:bookmarkEnd w:id="0"/>
    </w:p>
    <w:p w:rsidR="009561D0" w:rsidRPr="009561D0" w:rsidRDefault="009561D0" w:rsidP="009561D0">
      <w:pPr>
        <w:spacing w:after="0" w:line="276" w:lineRule="auto"/>
        <w:rPr>
          <w:rFonts w:ascii="Garamond" w:eastAsia="Times New Roman" w:hAnsi="Garamond" w:cs="Arial"/>
          <w:sz w:val="24"/>
          <w:szCs w:val="24"/>
        </w:rPr>
      </w:pPr>
      <w:r w:rsidRPr="009561D0">
        <w:rPr>
          <w:rFonts w:ascii="Garamond" w:eastAsia="Times New Roman" w:hAnsi="Garamond" w:cs="Arial"/>
          <w:bCs/>
          <w:color w:val="FF0000"/>
          <w:sz w:val="24"/>
          <w:szCs w:val="24"/>
        </w:rPr>
        <w:t>Comprehensive Description</w:t>
      </w: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b/>
          <w:sz w:val="24"/>
          <w:szCs w:val="24"/>
        </w:rPr>
        <w:t xml:space="preserve">Introduction to Simulation Design Template Adapted for IPE </w:t>
      </w:r>
      <w:r w:rsidR="00B25A9E" w:rsidRPr="009561D0">
        <w:rPr>
          <w:rFonts w:ascii="Garamond" w:eastAsia="Garamond" w:hAnsi="Garamond" w:cs="Helvetica"/>
          <w:b/>
          <w:sz w:val="24"/>
          <w:szCs w:val="24"/>
        </w:rPr>
        <w:t>Simulations</w:t>
      </w:r>
    </w:p>
    <w:p w:rsidR="009561D0" w:rsidRPr="009561D0" w:rsidRDefault="009561D0" w:rsidP="009561D0">
      <w:pPr>
        <w:spacing w:after="0" w:line="240" w:lineRule="auto"/>
        <w:jc w:val="center"/>
        <w:rPr>
          <w:rFonts w:ascii="Garamond" w:hAnsi="Garamond" w:cs="Helvetica"/>
          <w:sz w:val="24"/>
          <w:szCs w:val="24"/>
        </w:rPr>
      </w:pP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 xml:space="preserve">A sub-group of participants in the 2013 cohort of the NLN’s Leadership Development Program for Simulation Educators undertook a project to adapt the NLN simulation template for use in simulation scenarios that have an interprofessional education (IPE) component. Their purpose was to publish/distribute this template on the SIRC website so the simulation community can benefit from a practical adaptation of an already established simulation tool. </w:t>
      </w: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rPr>
          <w:rFonts w:ascii="Garamond" w:eastAsia="Garamond" w:hAnsi="Garamond" w:cs="Helvetica"/>
          <w:sz w:val="24"/>
          <w:szCs w:val="24"/>
          <w:highlight w:val="white"/>
        </w:rPr>
      </w:pPr>
      <w:r w:rsidRPr="009561D0">
        <w:rPr>
          <w:rFonts w:ascii="Garamond" w:eastAsia="Garamond" w:hAnsi="Garamond" w:cs="Helvetica"/>
          <w:sz w:val="24"/>
          <w:szCs w:val="24"/>
          <w:highlight w:val="white"/>
        </w:rPr>
        <w:t xml:space="preserve">Information from the Core Competencies for Interprofessional Collaborative Practice report (IPEC, 2011) was used to modify the template, which contains sample interprofessional objectives along with guided reflection questions that relate to these objectives.  </w:t>
      </w:r>
    </w:p>
    <w:p w:rsidR="009561D0" w:rsidRPr="009561D0" w:rsidRDefault="009561D0" w:rsidP="009561D0">
      <w:pPr>
        <w:spacing w:after="0" w:line="240" w:lineRule="auto"/>
        <w:rPr>
          <w:rFonts w:ascii="Garamond" w:eastAsia="Garamond" w:hAnsi="Garamond" w:cs="Helvetica"/>
          <w:sz w:val="24"/>
          <w:szCs w:val="24"/>
          <w:highlight w:val="white"/>
        </w:rPr>
      </w:pPr>
    </w:p>
    <w:p w:rsidR="009561D0" w:rsidRPr="009561D0" w:rsidRDefault="009561D0" w:rsidP="009561D0">
      <w:pPr>
        <w:pStyle w:val="BodyText"/>
        <w:ind w:right="201"/>
        <w:rPr>
          <w:rFonts w:ascii="Garamond" w:hAnsi="Garamond"/>
          <w:b w:val="0"/>
          <w:color w:val="C00000"/>
        </w:rPr>
      </w:pPr>
      <w:r w:rsidRPr="009561D0">
        <w:rPr>
          <w:rFonts w:ascii="Garamond" w:eastAsia="Garamond" w:hAnsi="Garamond" w:cs="Helvetica"/>
          <w:b w:val="0"/>
          <w:highlight w:val="white"/>
        </w:rPr>
        <w:t xml:space="preserve">Respiratory and nursing faculty collaborated to design the simulation, which was an adaptation of the Henry and </w:t>
      </w:r>
      <w:proofErr w:type="spellStart"/>
      <w:r w:rsidRPr="009561D0">
        <w:rPr>
          <w:rFonts w:ascii="Garamond" w:eastAsia="Garamond" w:hAnsi="Garamond" w:cs="Helvetica"/>
          <w:b w:val="0"/>
          <w:highlight w:val="white"/>
        </w:rPr>
        <w:t>Ertha</w:t>
      </w:r>
      <w:proofErr w:type="spellEnd"/>
      <w:r w:rsidRPr="009561D0">
        <w:rPr>
          <w:rFonts w:ascii="Garamond" w:eastAsia="Garamond" w:hAnsi="Garamond" w:cs="Helvetica"/>
          <w:b w:val="0"/>
          <w:highlight w:val="white"/>
        </w:rPr>
        <w:t xml:space="preserve"> ACES simulation located at </w:t>
      </w:r>
      <w:r w:rsidRPr="009561D0">
        <w:rPr>
          <w:rFonts w:ascii="Garamond" w:eastAsia="Garamond" w:hAnsi="Garamond" w:cs="Helvetica"/>
          <w:b w:val="0"/>
        </w:rPr>
        <w:t>http://www.nln.org/professional-development-programs/teaching-resources/aging/ace-s/unfolding-cases/henry-and-ertha-williams</w:t>
      </w:r>
      <w:r w:rsidRPr="009561D0">
        <w:rPr>
          <w:rFonts w:ascii="Garamond" w:eastAsia="Garamond" w:hAnsi="Garamond" w:cs="Helvetica"/>
          <w:b w:val="0"/>
          <w:highlight w:val="white"/>
        </w:rPr>
        <w:t>.  Next they jointly facilitated and debriefed the simulation with nursing and respiratory therapy students or professionals at their respective settings, then debriefed based on interprofessional competencies as well as competencies that were distinct to each discipline</w:t>
      </w:r>
      <w:r w:rsidRPr="009561D0">
        <w:rPr>
          <w:rFonts w:ascii="Garamond" w:eastAsia="Garamond" w:hAnsi="Garamond" w:cs="Helvetica"/>
          <w:b w:val="0"/>
        </w:rPr>
        <w:t>.</w:t>
      </w:r>
      <w:r w:rsidRPr="009561D0">
        <w:rPr>
          <w:rFonts w:ascii="Garamond" w:hAnsi="Garamond"/>
          <w:b w:val="0"/>
        </w:rPr>
        <w:t xml:space="preserve"> They encourage others to use and test it and would appreciate any feedback on their experiences to the authors.</w:t>
      </w: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rPr>
          <w:rFonts w:ascii="Garamond" w:hAnsi="Garamond" w:cs="Helvetica"/>
          <w:sz w:val="24"/>
          <w:szCs w:val="24"/>
        </w:rPr>
      </w:pPr>
      <w:bookmarkStart w:id="1" w:name="h.gjdgxs" w:colFirst="0" w:colLast="0"/>
      <w:bookmarkEnd w:id="1"/>
      <w:r w:rsidRPr="009561D0">
        <w:rPr>
          <w:rFonts w:ascii="Garamond" w:eastAsia="Garamond" w:hAnsi="Garamond" w:cs="Helvetica"/>
          <w:b/>
          <w:sz w:val="24"/>
          <w:szCs w:val="24"/>
        </w:rPr>
        <w:t>IPE Adapted Simulation Template Authors:</w:t>
      </w: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Barbara Burk, MSN, RN, CNE</w:t>
      </w: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Associate Professor, Brookdale Community College, Lincroft, NJ</w:t>
      </w: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 xml:space="preserve">Sandra Caballero, MSN, RN, CHSE Coordinator, </w:t>
      </w:r>
      <w:proofErr w:type="gramStart"/>
      <w:r w:rsidRPr="009561D0">
        <w:rPr>
          <w:rFonts w:ascii="Garamond" w:eastAsia="Garamond" w:hAnsi="Garamond" w:cs="Helvetica"/>
          <w:sz w:val="24"/>
          <w:szCs w:val="24"/>
        </w:rPr>
        <w:t>The</w:t>
      </w:r>
      <w:proofErr w:type="gramEnd"/>
      <w:r w:rsidRPr="009561D0">
        <w:rPr>
          <w:rFonts w:ascii="Garamond" w:eastAsia="Garamond" w:hAnsi="Garamond" w:cs="Helvetica"/>
          <w:sz w:val="24"/>
          <w:szCs w:val="24"/>
        </w:rPr>
        <w:t xml:space="preserve"> </w:t>
      </w:r>
      <w:proofErr w:type="spellStart"/>
      <w:r w:rsidRPr="009561D0">
        <w:rPr>
          <w:rFonts w:ascii="Garamond" w:eastAsia="Garamond" w:hAnsi="Garamond" w:cs="Helvetica"/>
          <w:sz w:val="24"/>
          <w:szCs w:val="24"/>
        </w:rPr>
        <w:t>F.Marie</w:t>
      </w:r>
      <w:proofErr w:type="spellEnd"/>
      <w:r w:rsidRPr="009561D0">
        <w:rPr>
          <w:rFonts w:ascii="Garamond" w:eastAsia="Garamond" w:hAnsi="Garamond" w:cs="Helvetica"/>
          <w:sz w:val="24"/>
          <w:szCs w:val="24"/>
        </w:rPr>
        <w:t xml:space="preserve"> Hall </w:t>
      </w:r>
      <w:proofErr w:type="spellStart"/>
      <w:r w:rsidRPr="009561D0">
        <w:rPr>
          <w:rFonts w:ascii="Garamond" w:eastAsia="Garamond" w:hAnsi="Garamond" w:cs="Helvetica"/>
          <w:sz w:val="24"/>
          <w:szCs w:val="24"/>
        </w:rPr>
        <w:t>Simlife</w:t>
      </w:r>
      <w:proofErr w:type="spellEnd"/>
      <w:r w:rsidRPr="009561D0">
        <w:rPr>
          <w:rFonts w:ascii="Garamond" w:eastAsia="Garamond" w:hAnsi="Garamond" w:cs="Helvetica"/>
          <w:sz w:val="24"/>
          <w:szCs w:val="24"/>
        </w:rPr>
        <w:t xml:space="preserve"> Center;</w:t>
      </w: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Instructor, Texas Tech University Health Sciences Center School of Nursing</w:t>
      </w: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Michelle M. Kirwan, MSN, CRNP, CNE, CHSE</w:t>
      </w: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Clinical Associate Professor, Towson University, Towson, MD</w:t>
      </w: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 xml:space="preserve">Patricia </w:t>
      </w:r>
      <w:proofErr w:type="spellStart"/>
      <w:r w:rsidRPr="009561D0">
        <w:rPr>
          <w:rFonts w:ascii="Garamond" w:eastAsia="Garamond" w:hAnsi="Garamond" w:cs="Helvetica"/>
          <w:sz w:val="24"/>
          <w:szCs w:val="24"/>
        </w:rPr>
        <w:t>Bedell-Pulito</w:t>
      </w:r>
      <w:proofErr w:type="spellEnd"/>
      <w:r w:rsidRPr="009561D0">
        <w:rPr>
          <w:rFonts w:ascii="Garamond" w:eastAsia="Garamond" w:hAnsi="Garamond" w:cs="Helvetica"/>
          <w:sz w:val="24"/>
          <w:szCs w:val="24"/>
        </w:rPr>
        <w:t>, MSN, RN, CNE</w:t>
      </w: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 xml:space="preserve">Clinical Lab Specialist-Assistant Professor, </w:t>
      </w:r>
      <w:proofErr w:type="spellStart"/>
      <w:r w:rsidRPr="009561D0">
        <w:rPr>
          <w:rFonts w:ascii="Garamond" w:eastAsia="Garamond" w:hAnsi="Garamond" w:cs="Helvetica"/>
          <w:sz w:val="24"/>
          <w:szCs w:val="24"/>
        </w:rPr>
        <w:t>Mercyhurst</w:t>
      </w:r>
      <w:proofErr w:type="spellEnd"/>
      <w:r w:rsidRPr="009561D0">
        <w:rPr>
          <w:rFonts w:ascii="Garamond" w:eastAsia="Garamond" w:hAnsi="Garamond" w:cs="Helvetica"/>
          <w:sz w:val="24"/>
          <w:szCs w:val="24"/>
        </w:rPr>
        <w:t>. University, North East, Pennsylvania</w:t>
      </w: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J. Cedar Wang, MSN, RN, GNP-BC, CHSE</w:t>
      </w:r>
    </w:p>
    <w:p w:rsidR="009561D0" w:rsidRPr="009561D0" w:rsidRDefault="009561D0" w:rsidP="009561D0">
      <w:pPr>
        <w:spacing w:after="0" w:line="240" w:lineRule="auto"/>
        <w:rPr>
          <w:rFonts w:ascii="Garamond" w:hAnsi="Garamond" w:cs="Helvetica"/>
          <w:sz w:val="24"/>
          <w:szCs w:val="24"/>
        </w:rPr>
      </w:pPr>
      <w:r w:rsidRPr="009561D0">
        <w:rPr>
          <w:rFonts w:ascii="Garamond" w:eastAsia="Garamond" w:hAnsi="Garamond" w:cs="Helvetica"/>
          <w:sz w:val="24"/>
          <w:szCs w:val="24"/>
        </w:rPr>
        <w:t>Director, Institute for Simulation Learning, Holy Name Medical Center, Teaneck, NJ</w:t>
      </w: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jc w:val="center"/>
        <w:rPr>
          <w:rFonts w:ascii="Garamond" w:hAnsi="Garamond" w:cs="Helvetica"/>
          <w:sz w:val="24"/>
          <w:szCs w:val="24"/>
        </w:rPr>
      </w:pPr>
      <w:r w:rsidRPr="009561D0">
        <w:rPr>
          <w:rFonts w:ascii="Garamond" w:eastAsia="Garamond" w:hAnsi="Garamond" w:cs="Helvetica"/>
          <w:sz w:val="24"/>
          <w:szCs w:val="24"/>
        </w:rPr>
        <w:t>Reference</w:t>
      </w:r>
    </w:p>
    <w:p w:rsidR="009561D0" w:rsidRPr="009561D0" w:rsidRDefault="009561D0" w:rsidP="009561D0">
      <w:pPr>
        <w:spacing w:after="0" w:line="240" w:lineRule="auto"/>
        <w:rPr>
          <w:rFonts w:ascii="Garamond" w:hAnsi="Garamond" w:cs="Helvetica"/>
          <w:sz w:val="24"/>
          <w:szCs w:val="24"/>
        </w:rPr>
      </w:pPr>
    </w:p>
    <w:p w:rsidR="009561D0" w:rsidRPr="009561D0" w:rsidRDefault="009561D0" w:rsidP="009561D0">
      <w:pPr>
        <w:spacing w:after="0" w:line="240" w:lineRule="auto"/>
        <w:rPr>
          <w:rFonts w:ascii="Garamond" w:hAnsi="Garamond" w:cs="Helvetica"/>
          <w:sz w:val="24"/>
          <w:szCs w:val="24"/>
        </w:rPr>
      </w:pPr>
      <w:proofErr w:type="gramStart"/>
      <w:r w:rsidRPr="009561D0">
        <w:rPr>
          <w:rFonts w:ascii="Garamond" w:eastAsia="Garamond" w:hAnsi="Garamond" w:cs="Helvetica"/>
          <w:sz w:val="24"/>
          <w:szCs w:val="24"/>
        </w:rPr>
        <w:t>IPEC (Interprofessional Education Collaborative).</w:t>
      </w:r>
      <w:proofErr w:type="gramEnd"/>
      <w:r w:rsidRPr="009561D0">
        <w:rPr>
          <w:rFonts w:ascii="Garamond" w:eastAsia="Garamond" w:hAnsi="Garamond" w:cs="Helvetica"/>
          <w:sz w:val="24"/>
          <w:szCs w:val="24"/>
        </w:rPr>
        <w:t xml:space="preserve"> 2011. </w:t>
      </w:r>
      <w:r w:rsidRPr="009561D0">
        <w:rPr>
          <w:rFonts w:ascii="Garamond" w:eastAsia="Garamond" w:hAnsi="Garamond" w:cs="Helvetica"/>
          <w:i/>
          <w:sz w:val="24"/>
          <w:szCs w:val="24"/>
        </w:rPr>
        <w:t>Core competencies for interprofessional</w:t>
      </w:r>
    </w:p>
    <w:p w:rsidR="009561D0" w:rsidRPr="009561D0" w:rsidRDefault="009561D0" w:rsidP="009561D0">
      <w:pPr>
        <w:spacing w:after="0" w:line="240" w:lineRule="auto"/>
        <w:rPr>
          <w:rFonts w:ascii="Garamond" w:hAnsi="Garamond" w:cs="Helvetica"/>
          <w:sz w:val="24"/>
          <w:szCs w:val="24"/>
        </w:rPr>
      </w:pPr>
      <w:proofErr w:type="gramStart"/>
      <w:r w:rsidRPr="009561D0">
        <w:rPr>
          <w:rFonts w:ascii="Garamond" w:eastAsia="Garamond" w:hAnsi="Garamond" w:cs="Helvetica"/>
          <w:i/>
          <w:sz w:val="24"/>
          <w:szCs w:val="24"/>
        </w:rPr>
        <w:t>collaborative</w:t>
      </w:r>
      <w:proofErr w:type="gramEnd"/>
      <w:r w:rsidRPr="009561D0">
        <w:rPr>
          <w:rFonts w:ascii="Garamond" w:eastAsia="Garamond" w:hAnsi="Garamond" w:cs="Helvetica"/>
          <w:i/>
          <w:sz w:val="24"/>
          <w:szCs w:val="24"/>
        </w:rPr>
        <w:t xml:space="preserve"> practice: Report of an expert panel. </w:t>
      </w:r>
      <w:r w:rsidRPr="009561D0">
        <w:rPr>
          <w:rFonts w:ascii="Garamond" w:eastAsia="Garamond" w:hAnsi="Garamond" w:cs="Helvetica"/>
          <w:sz w:val="24"/>
          <w:szCs w:val="24"/>
        </w:rPr>
        <w:t xml:space="preserve">Washington, DC: IPEC. Retrieved </w:t>
      </w:r>
      <w:proofErr w:type="gramStart"/>
      <w:r w:rsidRPr="009561D0">
        <w:rPr>
          <w:rFonts w:ascii="Garamond" w:eastAsia="Garamond" w:hAnsi="Garamond" w:cs="Helvetica"/>
          <w:sz w:val="24"/>
          <w:szCs w:val="24"/>
        </w:rPr>
        <w:t xml:space="preserve">from  </w:t>
      </w:r>
      <w:proofErr w:type="gramEnd"/>
      <w:hyperlink r:id="rId5">
        <w:r w:rsidRPr="009561D0">
          <w:rPr>
            <w:rFonts w:ascii="Garamond" w:eastAsia="Garamond" w:hAnsi="Garamond" w:cs="Helvetica"/>
            <w:color w:val="0000FF"/>
            <w:sz w:val="24"/>
            <w:szCs w:val="24"/>
            <w:u w:val="single"/>
          </w:rPr>
          <w:t>http://www.aacn.nche.edu/education-resources/ipecreport.pdf</w:t>
        </w:r>
      </w:hyperlink>
      <w:hyperlink r:id="rId6"/>
    </w:p>
    <w:p w:rsidR="000C7A54" w:rsidRPr="009561D0" w:rsidRDefault="000C7A54">
      <w:pPr>
        <w:rPr>
          <w:rFonts w:ascii="Garamond" w:hAnsi="Garamond"/>
          <w:sz w:val="24"/>
          <w:szCs w:val="24"/>
        </w:rPr>
      </w:pPr>
    </w:p>
    <w:p w:rsidR="009561D0" w:rsidRPr="009561D0" w:rsidRDefault="009561D0">
      <w:pPr>
        <w:rPr>
          <w:rFonts w:ascii="Garamond" w:hAnsi="Garamond"/>
          <w:sz w:val="24"/>
          <w:szCs w:val="24"/>
        </w:rPr>
      </w:pPr>
    </w:p>
    <w:sectPr w:rsidR="009561D0" w:rsidRPr="00956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D0"/>
    <w:rsid w:val="000C7A54"/>
    <w:rsid w:val="001C03F6"/>
    <w:rsid w:val="006019AF"/>
    <w:rsid w:val="009561D0"/>
    <w:rsid w:val="00A424BA"/>
    <w:rsid w:val="00B25A9E"/>
    <w:rsid w:val="00F4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561D0"/>
    <w:pPr>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semiHidden/>
    <w:rsid w:val="009561D0"/>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561D0"/>
    <w:pPr>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semiHidden/>
    <w:rsid w:val="009561D0"/>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acn.nche.edu/education-resources/ipecreport.pdf" TargetMode="External"/><Relationship Id="rId5" Type="http://schemas.openxmlformats.org/officeDocument/2006/relationships/hyperlink" Target="http://www.aacn.nche.edu/education-resources/ipecrepor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dc:creator>
  <cp:lastModifiedBy>Glusko, Dawn</cp:lastModifiedBy>
  <cp:revision>2</cp:revision>
  <dcterms:created xsi:type="dcterms:W3CDTF">2015-09-03T19:13:00Z</dcterms:created>
  <dcterms:modified xsi:type="dcterms:W3CDTF">2015-09-03T19:13:00Z</dcterms:modified>
</cp:coreProperties>
</file>